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5" w:rsidRDefault="004566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6635" w:rsidRDefault="00456635">
      <w:pPr>
        <w:pStyle w:val="ConsPlusNormal"/>
        <w:ind w:firstLine="540"/>
        <w:jc w:val="both"/>
        <w:outlineLvl w:val="0"/>
      </w:pPr>
    </w:p>
    <w:p w:rsidR="00456635" w:rsidRDefault="00456635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jc w:val="center"/>
      </w:pPr>
      <w:r>
        <w:t>С 1 ИЮЛЯ 2019 ГОДА В ГОСЗАКУПКАХ МОГУТ ПРОИЗОЙТИ</w:t>
      </w:r>
    </w:p>
    <w:p w:rsidR="00456635" w:rsidRDefault="00456635">
      <w:pPr>
        <w:pStyle w:val="ConsPlusTitle"/>
        <w:jc w:val="center"/>
      </w:pPr>
      <w:r>
        <w:t>ЗНАЧИТЕЛЬНЫЕ ИЗМЕНЕНИЯ</w:t>
      </w:r>
    </w:p>
    <w:p w:rsidR="00456635" w:rsidRDefault="00456635">
      <w:pPr>
        <w:pStyle w:val="ConsPlusNormal"/>
        <w:jc w:val="center"/>
      </w:pPr>
    </w:p>
    <w:p w:rsidR="00456635" w:rsidRDefault="00456635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Материал подготовлен с использованием правовых актов по состоянию на </w:t>
      </w:r>
      <w:bookmarkStart w:id="0" w:name="_GoBack"/>
      <w:r>
        <w:t>15.03.2019</w:t>
      </w:r>
      <w:bookmarkEnd w:id="0"/>
      <w:r>
        <w:t>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Normal"/>
        <w:ind w:firstLine="540"/>
        <w:jc w:val="both"/>
      </w:pPr>
      <w:r>
        <w:t xml:space="preserve">Минфин подготовил </w:t>
      </w:r>
      <w:hyperlink r:id="rId6" w:history="1">
        <w:r>
          <w:rPr>
            <w:color w:val="0000FF"/>
          </w:rPr>
          <w:t>законопроект</w:t>
        </w:r>
      </w:hyperlink>
      <w:r>
        <w:t xml:space="preserve"> с поправками к Закону N 44-ФЗ. Появятся новые основания для изменения условий некоторых контрактов, например, на капремонт или коммунальные услуги. При расторжении контракта с победителем заказчик сможет заключить новый с участником, который занял второе место. Эти и другие новшества рассмотрим в обзоре.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ind w:firstLine="540"/>
        <w:jc w:val="both"/>
        <w:outlineLvl w:val="0"/>
      </w:pPr>
      <w:r>
        <w:t>Появятся дополнительные основания для изменения контрактов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В случае строительства, реконструкции, капремонта, сноса объектов капстроительства можно будет поменять (</w:t>
      </w:r>
      <w:hyperlink r:id="rId7" w:history="1">
        <w:r>
          <w:rPr>
            <w:color w:val="0000FF"/>
          </w:rPr>
          <w:t>пп. "а" п. 54 ст. 1</w:t>
        </w:r>
      </w:hyperlink>
      <w:r>
        <w:t xml:space="preserve"> проекта):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- в контрактах, заключенных на год и более, - любые условия, кроме срока, если возникли независящие от сторон обстоятельства, из-за которых работы невозможно выполнить. Цену контракта можно будет увеличить не более чем на 30%. Для изменения условий потребуется решение правительства, высшего исполнительного органа региона или местной администрации. Правительство установит уровень цен, при котором допустимо такое изменение;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- в любых контрактах - срок, если он нарушен по вине подрядчика. Дополнительное время не должно превышать первоначального срока. Подрядчику придется выплатить все начисленные неустойки. Стороны должны будут согласовать новый срок возврата суммы, предоставленной в обеспечение контракта.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Контракт с единственным поставщиком можно будет изменить, если закупаются, в частности (</w:t>
      </w:r>
      <w:hyperlink r:id="rId8" w:history="1">
        <w:r>
          <w:rPr>
            <w:color w:val="0000FF"/>
          </w:rPr>
          <w:t>пп. "а" п. 54 ст. 1</w:t>
        </w:r>
      </w:hyperlink>
      <w:r>
        <w:t xml:space="preserve"> проекта):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услуги естественных монополий</w:t>
        </w:r>
      </w:hyperlink>
      <w:r>
        <w:t>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коммунальные услуги, услуги по газоснабжению, подключению к сетям</w:t>
        </w:r>
      </w:hyperlink>
      <w:r>
        <w:t>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услуги по управлению многоквартирным домом</w:t>
        </w:r>
      </w:hyperlink>
      <w:r>
        <w:t>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услуги по содержанию, ремонту, охране помещений, переданных заказчику в безвозмездное пользование или оперативное управление</w:t>
        </w:r>
      </w:hyperlink>
      <w:r>
        <w:t>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электроэнергия или услуги по энергоснабжению</w:t>
        </w:r>
      </w:hyperlink>
      <w:r>
        <w:t>;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аренда нежилых зданий и помещений</w:t>
        </w:r>
      </w:hyperlink>
      <w:r>
        <w:t>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ind w:firstLine="540"/>
        <w:jc w:val="both"/>
        <w:outlineLvl w:val="0"/>
      </w:pPr>
      <w:r>
        <w:t>Заказчики смогут сменить исполнителя без торгов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При расторжении контракта </w:t>
      </w:r>
      <w:hyperlink r:id="rId15" w:history="1">
        <w:r>
          <w:rPr>
            <w:color w:val="0000FF"/>
          </w:rPr>
          <w:t>по любому основанию</w:t>
        </w:r>
      </w:hyperlink>
      <w:r>
        <w:t xml:space="preserve"> новый можно заключить с участником, заявке которого был присвоен второй номер, при его согласии (</w:t>
      </w:r>
      <w:hyperlink r:id="rId16" w:history="1">
        <w:r>
          <w:rPr>
            <w:color w:val="0000FF"/>
          </w:rPr>
          <w:t>пп. "б" п. 54 ст. 1</w:t>
        </w:r>
      </w:hyperlink>
      <w:r>
        <w:t xml:space="preserve"> проекта). Если от исполнения контракта отказался заказчик, первого исполнителя нужно предварительно включить в РНП.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lastRenderedPageBreak/>
        <w:t xml:space="preserve">Контракт заключат на условиях, предусмотренных извещением и заявкой нового исполнителя. Объем обязательств и цену потребуется </w:t>
      </w:r>
      <w:hyperlink r:id="rId17" w:history="1">
        <w:r>
          <w:rPr>
            <w:color w:val="0000FF"/>
          </w:rPr>
          <w:t>уменьшить</w:t>
        </w:r>
      </w:hyperlink>
      <w:r>
        <w:t>, если первоначальный контракт был частично исполнен.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ind w:firstLine="540"/>
        <w:jc w:val="both"/>
        <w:outlineLvl w:val="0"/>
      </w:pPr>
      <w:r>
        <w:t>Станет больше возможностей проводить закупки с неизвестным объемом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Заказчики смогут закупать любые товары, работы или услуги, не определяя их объем.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Потребуется обосновать начальную цену единицы и начальную сумму цен единиц товаров, работ или услуг (</w:t>
      </w:r>
      <w:hyperlink r:id="rId18" w:history="1">
        <w:r>
          <w:rPr>
            <w:color w:val="0000FF"/>
          </w:rPr>
          <w:t>пп. "д" п. 3 ст. 1</w:t>
        </w:r>
      </w:hyperlink>
      <w:r>
        <w:t xml:space="preserve"> проекта). В извещении нужно будет указать эти цены, а также максимальное значение цены контракта (</w:t>
      </w:r>
      <w:hyperlink r:id="rId19" w:history="1">
        <w:r>
          <w:rPr>
            <w:color w:val="0000FF"/>
          </w:rPr>
          <w:t>пп. "б" п. 17 ст. 1</w:t>
        </w:r>
      </w:hyperlink>
      <w:r>
        <w:t xml:space="preserve"> проекта).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>Участники будут делать предложения о сумме цен единиц (</w:t>
      </w:r>
      <w:hyperlink r:id="rId20" w:history="1">
        <w:r>
          <w:rPr>
            <w:color w:val="0000FF"/>
          </w:rPr>
          <w:t>п. п. 4</w:t>
        </w:r>
      </w:hyperlink>
      <w:r>
        <w:t xml:space="preserve"> и </w:t>
      </w:r>
      <w:hyperlink r:id="rId21" w:history="1">
        <w:r>
          <w:rPr>
            <w:color w:val="0000FF"/>
          </w:rPr>
          <w:t>11 ст. 1</w:t>
        </w:r>
      </w:hyperlink>
      <w:r>
        <w:t xml:space="preserve"> проекта). Данная особенность повлияет на другие аспекты закупки. Так, преимущества учреждениям УИС и организациям инвалидов будут предоставлять в отношении суммы цен единиц (</w:t>
      </w:r>
      <w:hyperlink r:id="rId22" w:history="1">
        <w:r>
          <w:rPr>
            <w:color w:val="0000FF"/>
          </w:rPr>
          <w:t>п. п. 7</w:t>
        </w:r>
      </w:hyperlink>
      <w:r>
        <w:t xml:space="preserve"> и </w:t>
      </w:r>
      <w:hyperlink r:id="rId23" w:history="1">
        <w:r>
          <w:rPr>
            <w:color w:val="0000FF"/>
          </w:rPr>
          <w:t>8 ст. 1</w:t>
        </w:r>
      </w:hyperlink>
      <w:r>
        <w:t xml:space="preserve"> проекта). Антидемпинговые меры потребуется применять с учетом снижения этой суммы (</w:t>
      </w:r>
      <w:hyperlink r:id="rId24" w:history="1">
        <w:r>
          <w:rPr>
            <w:color w:val="0000FF"/>
          </w:rPr>
          <w:t>п. 15 ст. 1</w:t>
        </w:r>
      </w:hyperlink>
      <w:r>
        <w:t xml:space="preserve"> проекта).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ind w:firstLine="540"/>
        <w:jc w:val="both"/>
        <w:outlineLvl w:val="0"/>
      </w:pPr>
      <w:r>
        <w:t>Соответствие дополнительным требованиям проверят операторы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</w:t>
      </w:r>
      <w:hyperlink r:id="rId25" w:history="1">
        <w:r>
          <w:rPr>
            <w:color w:val="0000FF"/>
          </w:rPr>
          <w:t>дополнительным требованиям</w:t>
        </w:r>
      </w:hyperlink>
      <w:r>
        <w:t>, участники должны будут направлять оператору электронной площадки. В течение пяти рабочих дней оператор проверит документы и решит, размещать ли их в реестре участников, аккредитованных на площадке. В случае отказа участник не сможет подать заявку (</w:t>
      </w:r>
      <w:hyperlink r:id="rId26" w:history="1">
        <w:r>
          <w:rPr>
            <w:color w:val="0000FF"/>
          </w:rPr>
          <w:t>п. 5 ст. 1</w:t>
        </w:r>
      </w:hyperlink>
      <w:r>
        <w:t xml:space="preserve"> проекта).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Title"/>
        <w:ind w:firstLine="540"/>
        <w:jc w:val="both"/>
        <w:outlineLvl w:val="0"/>
      </w:pPr>
      <w:r>
        <w:t>Упростят подачу и оценку заявок на участие в "строительных" аукционах</w:t>
      </w:r>
    </w:p>
    <w:p w:rsidR="00456635" w:rsidRDefault="00456635">
      <w:pPr>
        <w:pStyle w:val="ConsPlusNormal"/>
        <w:spacing w:before="220"/>
        <w:ind w:firstLine="540"/>
        <w:jc w:val="both"/>
      </w:pPr>
      <w:r>
        <w:t xml:space="preserve">Если в документации на строительство, реконструкцию, капремонт или снос будет приведен проект, в заявке будет достаточно выразить согласие выполнить работы. Заказчику не придется оценивать первые части заявок. Лицо, подавшее заявку, автоматически станет участником, если оператор </w:t>
      </w:r>
      <w:hyperlink r:id="rId27" w:history="1">
        <w:r>
          <w:rPr>
            <w:color w:val="0000FF"/>
          </w:rPr>
          <w:t>не вернет</w:t>
        </w:r>
      </w:hyperlink>
      <w:r>
        <w:t xml:space="preserve"> ее. Аукцион пройдет через четыре часа после окончания срока подачи заявок (</w:t>
      </w:r>
      <w:hyperlink r:id="rId28" w:history="1">
        <w:r>
          <w:rPr>
            <w:color w:val="0000FF"/>
          </w:rPr>
          <w:t>пп. "в" п. 34</w:t>
        </w:r>
      </w:hyperlink>
      <w:r>
        <w:t xml:space="preserve">, </w:t>
      </w:r>
      <w:hyperlink r:id="rId29" w:history="1">
        <w:r>
          <w:rPr>
            <w:color w:val="0000FF"/>
          </w:rPr>
          <w:t>п. 36 ст. 1</w:t>
        </w:r>
      </w:hyperlink>
      <w:r>
        <w:t xml:space="preserve"> проекта).</w:t>
      </w: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Normal"/>
        <w:ind w:firstLine="540"/>
        <w:jc w:val="both"/>
      </w:pPr>
    </w:p>
    <w:p w:rsidR="00456635" w:rsidRDefault="004566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255" w:rsidRDefault="00280255"/>
    <w:sectPr w:rsidR="00280255" w:rsidSect="00EB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35"/>
    <w:rsid w:val="00280255"/>
    <w:rsid w:val="004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6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2241A8F71AAA090ABAF397B7D9994F021E4463FD4F9B91F606485BF0212CB94753AB547F52FA60BE67E29212B61AB0D881B054921587EM6tEL" TargetMode="External"/><Relationship Id="rId13" Type="http://schemas.openxmlformats.org/officeDocument/2006/relationships/hyperlink" Target="consultantplus://offline/ref=44B2241A8F71AAA090ABB32A667D9994F228E34439D0F9B91F606485BF0212CB94753AB547F42AAC0FE67E29212B61AB0D881B054921587EM6tEL" TargetMode="External"/><Relationship Id="rId18" Type="http://schemas.openxmlformats.org/officeDocument/2006/relationships/hyperlink" Target="consultantplus://offline/ref=44B2241A8F71AAA090ABAF397B7D9994F021E4463FD4F9B91F606485BF0212CB94753AB547F52DA50CE67E29212B61AB0D881B054921587EM6tEL" TargetMode="External"/><Relationship Id="rId26" Type="http://schemas.openxmlformats.org/officeDocument/2006/relationships/hyperlink" Target="consultantplus://offline/ref=44B2241A8F71AAA090ABAF397B7D9994F021E4463FD4F9B91F606485BF0212CB94753AB547F52DA60BE67E29212B61AB0D881B054921587EM6t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2241A8F71AAA090ABAF397B7D9994F021E4463FD4F9B91F606485BF0212CB94753AB547F52DA109E67E29212B61AB0D881B054921587EM6tEL" TargetMode="External"/><Relationship Id="rId7" Type="http://schemas.openxmlformats.org/officeDocument/2006/relationships/hyperlink" Target="consultantplus://offline/ref=44B2241A8F71AAA090ABAF397B7D9994F021E4463FD4F9B91F606485BF0212CB94753AB547F52FA60BE67E29212B61AB0D881B054921587EM6tEL" TargetMode="External"/><Relationship Id="rId12" Type="http://schemas.openxmlformats.org/officeDocument/2006/relationships/hyperlink" Target="consultantplus://offline/ref=44B2241A8F71AAA090ABB32A667D9994F228E34439D0F9B91F606485BF0212CB94753AB64FFE79F54FB827796C606CAE1A941B00M5tEL" TargetMode="External"/><Relationship Id="rId17" Type="http://schemas.openxmlformats.org/officeDocument/2006/relationships/hyperlink" Target="consultantplus://offline/ref=44B2241A8F71AAA090ABB32A667D9994F228E34439D0F9B91F606485BF0212CB94753AB547F42EA70EE67E29212B61AB0D881B054921587EM6tEL" TargetMode="External"/><Relationship Id="rId25" Type="http://schemas.openxmlformats.org/officeDocument/2006/relationships/hyperlink" Target="consultantplus://offline/ref=44B2241A8F71AAA090ABB32A667D9994F228E34439D0F9B91F606485BF0212CB94753AB547F52EA00FE67E29212B61AB0D881B054921587EM6t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B2241A8F71AAA090ABAF397B7D9994F021E4463FD4F9B91F606485BF0212CB94753AB547F52FA60FE67E29212B61AB0D881B054921587EM6tEL" TargetMode="External"/><Relationship Id="rId20" Type="http://schemas.openxmlformats.org/officeDocument/2006/relationships/hyperlink" Target="consultantplus://offline/ref=44B2241A8F71AAA090ABAF397B7D9994F021E4463FD4F9B91F606485BF0212CB94753AB547F52DA502E67E29212B61AB0D881B054921587EM6tEL" TargetMode="External"/><Relationship Id="rId29" Type="http://schemas.openxmlformats.org/officeDocument/2006/relationships/hyperlink" Target="consultantplus://offline/ref=44B2241A8F71AAA090ABAF397B7D9994F021E4463FD4F9B91F606485BF0212CB94753AB547F52CA70DE67E29212B61AB0D881B054921587EM6t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2241A8F71AAA090ABAF397B7D9994F021E4463FD4F9B91F606485BF0212CB867562B946FC33A40FF3287864M7t7L" TargetMode="External"/><Relationship Id="rId11" Type="http://schemas.openxmlformats.org/officeDocument/2006/relationships/hyperlink" Target="consultantplus://offline/ref=44B2241A8F71AAA090ABB32A667D9994F228E34439D0F9B91F606485BF0212CB94753AB547F42FA302E67E29212B61AB0D881B054921587EM6tEL" TargetMode="External"/><Relationship Id="rId24" Type="http://schemas.openxmlformats.org/officeDocument/2006/relationships/hyperlink" Target="consultantplus://offline/ref=44B2241A8F71AAA090ABAF397B7D9994F021E4463FD4F9B91F606485BF0212CB94753AB547F52DA20AE67E29212B61AB0D881B054921587EM6t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B2241A8F71AAA090ABB32A667D9994F228E34439D0F9B91F606485BF0212CB94753AB547F42EA60EE67E29212B61AB0D881B054921587EM6tEL" TargetMode="External"/><Relationship Id="rId23" Type="http://schemas.openxmlformats.org/officeDocument/2006/relationships/hyperlink" Target="consultantplus://offline/ref=44B2241A8F71AAA090ABAF397B7D9994F021E4463FD4F9B91F606485BF0212CB94753AB547F52DA00EE67E29212B61AB0D881B054921587EM6tEL" TargetMode="External"/><Relationship Id="rId28" Type="http://schemas.openxmlformats.org/officeDocument/2006/relationships/hyperlink" Target="consultantplus://offline/ref=44B2241A8F71AAA090ABAF397B7D9994F021E4463FD4F9B91F606485BF0212CB94753AB547F52CA60DE67E29212B61AB0D881B054921587EM6tEL" TargetMode="External"/><Relationship Id="rId10" Type="http://schemas.openxmlformats.org/officeDocument/2006/relationships/hyperlink" Target="consultantplus://offline/ref=44B2241A8F71AAA090ABB32A667D9994F228E34439D0F9B91F606485BF0212CB94753AB744F426F05AA97F75647772AA0088190156M2tAL" TargetMode="External"/><Relationship Id="rId19" Type="http://schemas.openxmlformats.org/officeDocument/2006/relationships/hyperlink" Target="consultantplus://offline/ref=44B2241A8F71AAA090ABAF397B7D9994F021E4463FD4F9B91F606485BF0212CB94753AB547F52DA30DE67E29212B61AB0D881B054921587EM6tE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2241A8F71AAA090ABB32A667D9994F228E34439D0F9B91F606485BF0212CB94753AB547F424A10DE67E29212B61AB0D881B054921587EM6tEL" TargetMode="External"/><Relationship Id="rId14" Type="http://schemas.openxmlformats.org/officeDocument/2006/relationships/hyperlink" Target="consultantplus://offline/ref=44B2241A8F71AAA090ABB32A667D9994F228E34439D0F9B91F606485BF0212CB94753AB547F424A20EE67E29212B61AB0D881B054921587EM6tEL" TargetMode="External"/><Relationship Id="rId22" Type="http://schemas.openxmlformats.org/officeDocument/2006/relationships/hyperlink" Target="consultantplus://offline/ref=44B2241A8F71AAA090ABAF397B7D9994F021E4463FD4F9B91F606485BF0212CB94753AB547F52DA009E67E29212B61AB0D881B054921587EM6tEL" TargetMode="External"/><Relationship Id="rId27" Type="http://schemas.openxmlformats.org/officeDocument/2006/relationships/hyperlink" Target="consultantplus://offline/ref=44B2241A8F71AAA090ABB32A667D9994F228E34439D0F9B91F606485BF0212CB94753AB547F525A203E67E29212B61AB0D881B054921587EM6t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2019-04-19T11:45:00Z</dcterms:created>
  <dcterms:modified xsi:type="dcterms:W3CDTF">2019-04-19T11:45:00Z</dcterms:modified>
</cp:coreProperties>
</file>